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80" w:rsidRPr="00F978E2" w:rsidRDefault="00C85271" w:rsidP="00EC767D">
      <w:pPr>
        <w:jc w:val="center"/>
        <w:rPr>
          <w:b/>
        </w:rPr>
      </w:pPr>
      <w:bookmarkStart w:id="0" w:name="_GoBack"/>
      <w:bookmarkEnd w:id="0"/>
      <w:r w:rsidRPr="00F978E2">
        <w:rPr>
          <w:b/>
        </w:rPr>
        <w:t xml:space="preserve">Draft Minutes of </w:t>
      </w:r>
      <w:r w:rsidR="00EC767D" w:rsidRPr="00F978E2">
        <w:rPr>
          <w:b/>
        </w:rPr>
        <w:t>Faculty Senate Meeting</w:t>
      </w:r>
    </w:p>
    <w:p w:rsidR="00EC767D" w:rsidRDefault="00C85271" w:rsidP="00EC767D">
      <w:pPr>
        <w:jc w:val="center"/>
      </w:pPr>
      <w:r>
        <w:t>12</w:t>
      </w:r>
      <w:r w:rsidRPr="00C85271">
        <w:rPr>
          <w:vertAlign w:val="superscript"/>
        </w:rPr>
        <w:t>th</w:t>
      </w:r>
      <w:r>
        <w:t xml:space="preserve"> </w:t>
      </w:r>
      <w:r w:rsidR="00EC767D">
        <w:t>January 12, 2015</w:t>
      </w:r>
    </w:p>
    <w:p w:rsidR="00EC767D" w:rsidRDefault="00C85271" w:rsidP="00EC767D">
      <w:r>
        <w:t>Started 3:34 pm</w:t>
      </w:r>
    </w:p>
    <w:p w:rsidR="00EC767D" w:rsidRDefault="00EC767D" w:rsidP="00EC767D">
      <w:pPr>
        <w:pStyle w:val="ListParagraph"/>
        <w:numPr>
          <w:ilvl w:val="0"/>
          <w:numId w:val="1"/>
        </w:numPr>
      </w:pPr>
      <w:r>
        <w:t>Approval of minutes from October and December Faculty Meetings</w:t>
      </w:r>
    </w:p>
    <w:p w:rsidR="00C85271" w:rsidRDefault="00C85271" w:rsidP="00C85271">
      <w:pPr>
        <w:pStyle w:val="ListParagraph"/>
      </w:pPr>
      <w:r>
        <w:t>Minutes approved.</w:t>
      </w:r>
    </w:p>
    <w:p w:rsidR="00810CA1" w:rsidRDefault="00810CA1" w:rsidP="00EC767D">
      <w:pPr>
        <w:pStyle w:val="ListParagraph"/>
        <w:numPr>
          <w:ilvl w:val="0"/>
          <w:numId w:val="1"/>
        </w:numPr>
      </w:pPr>
      <w:r>
        <w:t>Liaison reports</w:t>
      </w:r>
    </w:p>
    <w:p w:rsidR="00C85271" w:rsidRDefault="00C85271" w:rsidP="00C85271">
      <w:pPr>
        <w:pStyle w:val="ListParagraph"/>
      </w:pPr>
      <w:r>
        <w:t>Chairs discu</w:t>
      </w:r>
      <w:r w:rsidR="00F978E2">
        <w:t>ssed changes to core curriculum</w:t>
      </w:r>
      <w:r>
        <w:t>, Learning Center changes, and the new testing center being available from February.</w:t>
      </w:r>
    </w:p>
    <w:p w:rsidR="00EC767D" w:rsidRPr="00F978E2" w:rsidRDefault="00EC767D" w:rsidP="00EC767D">
      <w:pPr>
        <w:rPr>
          <w:b/>
        </w:rPr>
      </w:pPr>
      <w:r w:rsidRPr="00F978E2">
        <w:rPr>
          <w:b/>
        </w:rPr>
        <w:t>OLD BUSINESS</w:t>
      </w:r>
    </w:p>
    <w:p w:rsidR="00911A9A" w:rsidRPr="00F978E2" w:rsidRDefault="00F978E2" w:rsidP="00911A9A">
      <w:pPr>
        <w:pStyle w:val="ListParagraph"/>
        <w:numPr>
          <w:ilvl w:val="0"/>
          <w:numId w:val="6"/>
        </w:numPr>
        <w:rPr>
          <w:b/>
          <w:i/>
        </w:rPr>
      </w:pPr>
      <w:r w:rsidRPr="00F978E2">
        <w:rPr>
          <w:b/>
          <w:i/>
        </w:rPr>
        <w:t xml:space="preserve">DLC $50 fee </w:t>
      </w:r>
      <w:r w:rsidR="00911A9A" w:rsidRPr="00F978E2">
        <w:rPr>
          <w:b/>
          <w:i/>
        </w:rPr>
        <w:t xml:space="preserve">resolution to support findings from </w:t>
      </w:r>
      <w:r w:rsidRPr="00F978E2">
        <w:rPr>
          <w:b/>
          <w:i/>
        </w:rPr>
        <w:t xml:space="preserve">DLAC. </w:t>
      </w:r>
    </w:p>
    <w:p w:rsidR="00C85271" w:rsidRDefault="00C85271" w:rsidP="00C85271">
      <w:pPr>
        <w:pStyle w:val="ListParagraph"/>
      </w:pPr>
      <w:r>
        <w:t>Second reading passed unanimously.</w:t>
      </w:r>
    </w:p>
    <w:p w:rsidR="00C85271" w:rsidRDefault="00C85271" w:rsidP="00C85271">
      <w:pPr>
        <w:pStyle w:val="ListParagraph"/>
      </w:pPr>
    </w:p>
    <w:p w:rsidR="00EC767D" w:rsidRDefault="00F978E2" w:rsidP="00911A9A">
      <w:pPr>
        <w:pStyle w:val="ListParagraph"/>
        <w:numPr>
          <w:ilvl w:val="0"/>
          <w:numId w:val="6"/>
        </w:numPr>
      </w:pPr>
      <w:r w:rsidRPr="00F978E2">
        <w:rPr>
          <w:b/>
          <w:i/>
        </w:rPr>
        <w:t xml:space="preserve">Policy Process Committee - </w:t>
      </w:r>
      <w:r w:rsidR="00810CA1" w:rsidRPr="00F978E2">
        <w:rPr>
          <w:b/>
          <w:i/>
        </w:rPr>
        <w:t>second reading eliminating sunset clause</w:t>
      </w:r>
      <w:r>
        <w:t xml:space="preserve"> (see attached)</w:t>
      </w:r>
    </w:p>
    <w:p w:rsidR="00C85271" w:rsidRDefault="00C85271" w:rsidP="00C85271">
      <w:pPr>
        <w:pStyle w:val="ListParagraph"/>
      </w:pPr>
      <w:r>
        <w:t>Dick Gayler proposed replacing council by single person to save people’ time. Susan Paraska responded that the Council did a needed coordinating job. His amendment to do this was not seconded.</w:t>
      </w:r>
      <w:r w:rsidR="00E66721">
        <w:t xml:space="preserve"> Dick Gayler suggested a process to look at reducing university committees by abolishing or merging of existing committees.</w:t>
      </w:r>
    </w:p>
    <w:p w:rsidR="00C85271" w:rsidRDefault="00E66721" w:rsidP="00C85271">
      <w:pPr>
        <w:pStyle w:val="ListParagraph"/>
      </w:pPr>
      <w:r>
        <w:t xml:space="preserve">The meeting reverted to original proposal just eliminating sunset clause, presented in December. </w:t>
      </w:r>
      <w:r w:rsidR="00C85271">
        <w:t>The second reading passed 22 – 1.</w:t>
      </w:r>
    </w:p>
    <w:p w:rsidR="00C85271" w:rsidRDefault="00C85271" w:rsidP="00C85271">
      <w:pPr>
        <w:pStyle w:val="ListParagraph"/>
      </w:pPr>
    </w:p>
    <w:p w:rsidR="00810CA1" w:rsidRDefault="00810CA1" w:rsidP="00911A9A">
      <w:pPr>
        <w:pStyle w:val="ListParagraph"/>
        <w:numPr>
          <w:ilvl w:val="0"/>
          <w:numId w:val="6"/>
        </w:numPr>
      </w:pPr>
      <w:r w:rsidRPr="00F978E2">
        <w:rPr>
          <w:b/>
        </w:rPr>
        <w:t>Changes to DLAC</w:t>
      </w:r>
      <w:r>
        <w:t xml:space="preserve"> </w:t>
      </w:r>
      <w:r w:rsidR="00F978E2">
        <w:t>(see attached)</w:t>
      </w:r>
    </w:p>
    <w:p w:rsidR="00C85271" w:rsidRDefault="00C85271" w:rsidP="00C85271">
      <w:pPr>
        <w:pStyle w:val="ListParagraph"/>
      </w:pPr>
      <w:r>
        <w:t>A first reading of changes to DLAC was proposed by Ken White, and passed 20 – 0.</w:t>
      </w:r>
    </w:p>
    <w:p w:rsidR="00810CA1" w:rsidRPr="00F978E2" w:rsidRDefault="00810CA1" w:rsidP="00810CA1">
      <w:pPr>
        <w:rPr>
          <w:b/>
        </w:rPr>
      </w:pPr>
      <w:r w:rsidRPr="00F978E2">
        <w:rPr>
          <w:b/>
        </w:rPr>
        <w:t>NEW BUSINESS</w:t>
      </w:r>
    </w:p>
    <w:p w:rsidR="00810CA1" w:rsidRDefault="00810CA1" w:rsidP="00810CA1">
      <w:pPr>
        <w:pStyle w:val="ListParagraph"/>
        <w:numPr>
          <w:ilvl w:val="0"/>
          <w:numId w:val="3"/>
        </w:numPr>
      </w:pPr>
      <w:r w:rsidRPr="00F978E2">
        <w:rPr>
          <w:b/>
          <w:i/>
        </w:rPr>
        <w:t>Faculty Textbook</w:t>
      </w:r>
      <w:r w:rsidRPr="00F978E2">
        <w:rPr>
          <w:b/>
        </w:rPr>
        <w:t xml:space="preserve"> </w:t>
      </w:r>
      <w:r w:rsidRPr="00F978E2">
        <w:rPr>
          <w:b/>
          <w:i/>
        </w:rPr>
        <w:t>Policy</w:t>
      </w:r>
      <w:r w:rsidR="00F978E2">
        <w:t xml:space="preserve"> (see attached)</w:t>
      </w:r>
    </w:p>
    <w:p w:rsidR="00C85271" w:rsidRDefault="00C85271" w:rsidP="00C85271">
      <w:pPr>
        <w:pStyle w:val="ListParagraph"/>
      </w:pPr>
      <w:r>
        <w:t>Policy proposed by Val Whittlesey</w:t>
      </w:r>
      <w:r w:rsidR="00E66721">
        <w:t>, Ch</w:t>
      </w:r>
      <w:r>
        <w:t>a</w:t>
      </w:r>
      <w:r w:rsidR="00E66721">
        <w:t>n</w:t>
      </w:r>
      <w:r>
        <w:t>ges need to fit in with new USG guidelines. It would not be retroactive.</w:t>
      </w:r>
      <w:r w:rsidR="00E66721">
        <w:t xml:space="preserve"> There would by an appeal process for authors, who disagree with initial decisions. Note that the policy would not allow faculty to sell review copies to book buyers.</w:t>
      </w:r>
    </w:p>
    <w:p w:rsidR="00810CA1" w:rsidRPr="00F978E2" w:rsidRDefault="00810CA1" w:rsidP="00810CA1">
      <w:pPr>
        <w:rPr>
          <w:b/>
        </w:rPr>
      </w:pPr>
      <w:r w:rsidRPr="00F978E2">
        <w:rPr>
          <w:b/>
        </w:rPr>
        <w:t>INFORMATION</w:t>
      </w:r>
    </w:p>
    <w:p w:rsidR="00810CA1" w:rsidRPr="00F978E2" w:rsidRDefault="00810CA1" w:rsidP="00810CA1">
      <w:pPr>
        <w:pStyle w:val="ListParagraph"/>
        <w:numPr>
          <w:ilvl w:val="0"/>
          <w:numId w:val="4"/>
        </w:numPr>
        <w:rPr>
          <w:b/>
          <w:i/>
        </w:rPr>
      </w:pPr>
      <w:r w:rsidRPr="00F978E2">
        <w:rPr>
          <w:b/>
          <w:i/>
        </w:rPr>
        <w:t>Parking decals</w:t>
      </w:r>
      <w:r w:rsidR="00E66721" w:rsidRPr="00F978E2">
        <w:rPr>
          <w:b/>
          <w:i/>
        </w:rPr>
        <w:t xml:space="preserve"> and DMV records.</w:t>
      </w:r>
    </w:p>
    <w:p w:rsidR="00E66721" w:rsidRDefault="00E66721" w:rsidP="00E66721">
      <w:pPr>
        <w:pStyle w:val="ListParagraph"/>
      </w:pPr>
      <w:r>
        <w:t>Extra decals cost $25, and new ones will be transferable using sticky film technology. Dr. Papp is looking into requirement that all staff must provide access to their DMV records.</w:t>
      </w:r>
    </w:p>
    <w:p w:rsidR="00E66721" w:rsidRDefault="00E66721" w:rsidP="00810CA1">
      <w:pPr>
        <w:pStyle w:val="ListParagraph"/>
        <w:numPr>
          <w:ilvl w:val="0"/>
          <w:numId w:val="4"/>
        </w:numPr>
      </w:pPr>
      <w:r w:rsidRPr="00F978E2">
        <w:rPr>
          <w:b/>
          <w:i/>
        </w:rPr>
        <w:t>New library fees</w:t>
      </w:r>
      <w:r w:rsidR="00F978E2">
        <w:t xml:space="preserve"> (see attached)</w:t>
      </w:r>
    </w:p>
    <w:p w:rsidR="00E66721" w:rsidRDefault="00810CA1" w:rsidP="00F978E2">
      <w:pPr>
        <w:pStyle w:val="ListParagraph"/>
      </w:pPr>
      <w:r>
        <w:t>Cheryl Stiles</w:t>
      </w:r>
      <w:r w:rsidR="00E66721">
        <w:t xml:space="preserve"> pointed out that the faculty fees for overdrawn books have never been enforced. Library intends to start enforcing them. Library is consolidating catalogues and needs to know where all the books are. Renewal of book will probably become automatic.</w:t>
      </w:r>
    </w:p>
    <w:p w:rsidR="00810CA1" w:rsidRPr="00F978E2" w:rsidRDefault="00810CA1" w:rsidP="00810CA1">
      <w:pPr>
        <w:pStyle w:val="ListParagraph"/>
        <w:numPr>
          <w:ilvl w:val="0"/>
          <w:numId w:val="4"/>
        </w:numPr>
        <w:rPr>
          <w:b/>
          <w:i/>
        </w:rPr>
      </w:pPr>
      <w:r w:rsidRPr="00F978E2">
        <w:rPr>
          <w:b/>
          <w:i/>
        </w:rPr>
        <w:t>Call for two tenured faculty to serve on Faculty Handbook Task Force.</w:t>
      </w:r>
    </w:p>
    <w:p w:rsidR="00E66721" w:rsidRDefault="00E66721" w:rsidP="00E66721">
      <w:pPr>
        <w:pStyle w:val="ListParagraph"/>
      </w:pPr>
      <w:r>
        <w:t xml:space="preserve">This is an </w:t>
      </w:r>
      <w:r w:rsidR="00F978E2">
        <w:t>urgent task. Randy Stuart kindly volunteered. One other tenured faculty is needed.</w:t>
      </w:r>
    </w:p>
    <w:p w:rsidR="00911A9A" w:rsidRDefault="00F978E2" w:rsidP="00F978E2">
      <w:r>
        <w:t>Finished at 4:16 pm</w:t>
      </w:r>
    </w:p>
    <w:p w:rsidR="00D23712" w:rsidRPr="00D23712" w:rsidRDefault="00D23712" w:rsidP="00D23712">
      <w:pPr>
        <w:spacing w:after="0" w:line="240" w:lineRule="auto"/>
        <w:jc w:val="both"/>
        <w:rPr>
          <w:rFonts w:cs="Times New Roman"/>
        </w:rPr>
      </w:pPr>
    </w:p>
    <w:tbl>
      <w:tblPr>
        <w:tblStyle w:val="TableGrid"/>
        <w:tblW w:w="9201" w:type="dxa"/>
        <w:tblLook w:val="04A0" w:firstRow="1" w:lastRow="0" w:firstColumn="1" w:lastColumn="0" w:noHBand="0" w:noVBand="1"/>
      </w:tblPr>
      <w:tblGrid>
        <w:gridCol w:w="4675"/>
        <w:gridCol w:w="2941"/>
        <w:gridCol w:w="1585"/>
      </w:tblGrid>
      <w:tr w:rsidR="00D23712" w:rsidRPr="00D23712" w:rsidTr="00BF0681">
        <w:trPr>
          <w:trHeight w:val="144"/>
        </w:trPr>
        <w:tc>
          <w:tcPr>
            <w:tcW w:w="9201" w:type="dxa"/>
            <w:gridSpan w:val="3"/>
            <w:hideMark/>
          </w:tcPr>
          <w:p w:rsidR="00D23712" w:rsidRPr="00D23712" w:rsidRDefault="00D23712" w:rsidP="00D23712">
            <w:pPr>
              <w:tabs>
                <w:tab w:val="left" w:pos="4500"/>
              </w:tabs>
              <w:jc w:val="center"/>
              <w:rPr>
                <w:rFonts w:ascii="Times New Roman" w:hAnsi="Times New Roman"/>
                <w:b/>
                <w:bCs/>
                <w:sz w:val="24"/>
                <w:szCs w:val="24"/>
              </w:rPr>
            </w:pPr>
            <w:r>
              <w:rPr>
                <w:rFonts w:ascii="Times New Roman" w:hAnsi="Times New Roman"/>
                <w:b/>
                <w:bCs/>
                <w:sz w:val="24"/>
                <w:szCs w:val="24"/>
              </w:rPr>
              <w:t>Attendance (12</w:t>
            </w:r>
            <w:r w:rsidRPr="00D23712">
              <w:rPr>
                <w:rFonts w:ascii="Times New Roman" w:hAnsi="Times New Roman"/>
                <w:b/>
                <w:bCs/>
                <w:sz w:val="24"/>
                <w:szCs w:val="24"/>
                <w:vertAlign w:val="superscript"/>
              </w:rPr>
              <w:t>th</w:t>
            </w:r>
            <w:r w:rsidRPr="00D23712">
              <w:rPr>
                <w:rFonts w:ascii="Times New Roman" w:hAnsi="Times New Roman"/>
                <w:b/>
                <w:bCs/>
                <w:sz w:val="24"/>
                <w:szCs w:val="24"/>
              </w:rPr>
              <w:t xml:space="preserve"> </w:t>
            </w:r>
            <w:r>
              <w:rPr>
                <w:rFonts w:ascii="Times New Roman" w:hAnsi="Times New Roman"/>
                <w:b/>
                <w:bCs/>
                <w:sz w:val="24"/>
                <w:szCs w:val="24"/>
              </w:rPr>
              <w:t>January, 2015</w:t>
            </w:r>
            <w:r w:rsidRPr="00D23712">
              <w:rPr>
                <w:rFonts w:ascii="Times New Roman" w:hAnsi="Times New Roman"/>
                <w:b/>
                <w:bCs/>
                <w:sz w:val="24"/>
                <w:szCs w:val="24"/>
              </w:rPr>
              <w:t>)</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b/>
                <w:sz w:val="24"/>
                <w:szCs w:val="24"/>
              </w:rPr>
              <w:t>College/Constituency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b/>
                <w:sz w:val="24"/>
                <w:szCs w:val="24"/>
              </w:rPr>
              <w:t>Faculty Member/Liaison</w:t>
            </w:r>
          </w:p>
        </w:tc>
        <w:tc>
          <w:tcPr>
            <w:tcW w:w="1585" w:type="dxa"/>
            <w:hideMark/>
          </w:tcPr>
          <w:p w:rsidR="00D23712" w:rsidRPr="00D23712" w:rsidRDefault="00D23712" w:rsidP="00D23712">
            <w:pPr>
              <w:spacing w:before="100" w:beforeAutospacing="1" w:after="100" w:afterAutospacing="1"/>
              <w:ind w:left="302" w:hanging="302"/>
              <w:rPr>
                <w:rFonts w:ascii="Times New Roman" w:hAnsi="Times New Roman"/>
                <w:b/>
                <w:sz w:val="24"/>
                <w:szCs w:val="24"/>
              </w:rPr>
            </w:pPr>
            <w:r w:rsidRPr="00D23712">
              <w:rPr>
                <w:rFonts w:ascii="Times New Roman" w:hAnsi="Times New Roman"/>
                <w:b/>
                <w:sz w:val="24"/>
                <w:szCs w:val="24"/>
              </w:rPr>
              <w:t>Attendance</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Accounting</w:t>
            </w:r>
            <w:r>
              <w:rPr>
                <w:rFonts w:ascii="Times New Roman" w:hAnsi="Times New Roman"/>
                <w:sz w:val="24"/>
                <w:szCs w:val="24"/>
              </w:rPr>
              <w:t xml:space="preserve"> (Ari Ram substituting)</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Thomas Devaney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S</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Art &amp; Design</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Keith Smith</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Biology &amp; Physics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Jerald Hendrix</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Chemistry &amp; Biochemistry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Chris Dockery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Communication</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Emma Wertz</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Computer Science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Dick Gayler</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Culinary Sustainability &amp; Hospitality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Thorir Erlingsson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Dance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Mara Mandradjieff</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Economics, Finance &amp; Quantitative Analysis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Luc Noiset</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Education Leadership</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Earl Holliday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Elementary &amp; Early Childhood Education</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Shannon Howrey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English</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Cindy Bowers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Exercise Science/Sports Mgt.</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Jennifer Beck Willett</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First-Year and Transitional Studies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Richard Mosholder</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Foreign Languages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Jaime Cruz-Ortiz</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Geography &amp; Anthropology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Matthew Mitchelson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Health, Physical Education &amp; Sport Science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Peter St. Pierre</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History &amp; Philosophy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Alan LeBaron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Inclusive Education</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Joya Carter-Hicks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Information Systems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Humayun Zafar</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Instructional Technology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Jo Williamson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Interdisciplinary Studies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sz w:val="24"/>
                <w:szCs w:val="24"/>
              </w:rPr>
              <w:t>LeeAnn Lands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Management &amp; Entrepreneurship</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Doug Moodie</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Marketing &amp; Professional Sales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Sandra Pierquet</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Mathematics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Josip Derado</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Music</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John Warren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Nursing</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Jackie Jones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Political Science &amp; International Affairs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Ken White</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Psychology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Tom Pusateri</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Secondary &amp; Middle Grades Education</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Joanne Simpson/Jim Wright</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Statistics &amp; Analytical Sciences</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O</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Social Work &amp; Human Services</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Irene McClatchey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Sociology &amp; Criminal Justice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Tanja Link</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Sturgis Library</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Cheryl Stiles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Theatre, Performance Studies &amp; Dance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Rebecca Makus</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University Studies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Ree Howard</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b/>
                <w:sz w:val="24"/>
                <w:szCs w:val="24"/>
              </w:rPr>
            </w:pP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b/>
                <w:sz w:val="24"/>
                <w:szCs w:val="24"/>
              </w:rPr>
              <w:t>Liaisons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Administrators Senate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Caryn Young</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Chairs Council</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Alice Pate</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Part-time Faculty Council</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Yvonne Wichman</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sidRPr="00D23712">
              <w:rPr>
                <w:rFonts w:ascii="Times New Roman" w:eastAsia="Arial Unicode MS"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Staff Senate</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 Beam/J. Costen</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sz w:val="24"/>
                <w:szCs w:val="24"/>
              </w:rPr>
              <w:lastRenderedPageBreak/>
              <w:t>Student Government</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Ryan Delaney</w:t>
            </w: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b/>
                <w:sz w:val="24"/>
                <w:szCs w:val="24"/>
              </w:rPr>
              <w:t>Ex-officio</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eastAsia="Arial Unicode MS" w:hAnsi="Times New Roman"/>
                <w:sz w:val="24"/>
                <w:szCs w:val="24"/>
              </w:rPr>
            </w:pP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President</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Dan Papp</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Provost and VPAA</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Ken Harmon</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AVP for Faculty</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Ron Matson</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AVP Enrollment Services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Kim West</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O</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Faculty Executive Assistant to President</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Maureen McCarthy</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b/>
                <w:sz w:val="24"/>
                <w:szCs w:val="24"/>
              </w:rPr>
            </w:pPr>
            <w:r w:rsidRPr="00D23712">
              <w:rPr>
                <w:rFonts w:ascii="Times New Roman" w:hAnsi="Times New Roman"/>
                <w:b/>
                <w:sz w:val="24"/>
                <w:szCs w:val="24"/>
              </w:rPr>
              <w:t>Visitors</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Policy Process Council</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Susan Prosaska</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DLAC</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Julie Martin</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Marietta Campus</w:t>
            </w:r>
            <w:r w:rsidRPr="00D23712">
              <w:rPr>
                <w:rFonts w:ascii="Times New Roman" w:hAnsi="Times New Roman"/>
                <w:sz w:val="24"/>
                <w:szCs w:val="24"/>
              </w:rPr>
              <w:t xml:space="preserve"> Faculty Moderator</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Willian Griffiths</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AVP Technology Enhanced Learning</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Elke Leeds</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Consolidation Coordinator</w:t>
            </w:r>
          </w:p>
        </w:tc>
        <w:tc>
          <w:tcPr>
            <w:tcW w:w="2941" w:type="dxa"/>
            <w:hideMark/>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Randy Stuart</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Chair of DLAC</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Laura McGrath</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sidRPr="00D23712">
              <w:rPr>
                <w:rFonts w:ascii="Times New Roman" w:hAnsi="Times New Roman"/>
                <w:sz w:val="24"/>
                <w:szCs w:val="24"/>
              </w:rPr>
              <w:t>X</w:t>
            </w:r>
          </w:p>
        </w:tc>
      </w:tr>
      <w:tr w:rsidR="00D23712" w:rsidRPr="00D23712" w:rsidTr="00BF0681">
        <w:trPr>
          <w:trHeight w:val="144"/>
        </w:trPr>
        <w:tc>
          <w:tcPr>
            <w:tcW w:w="4675"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AVP Curriculum</w:t>
            </w:r>
          </w:p>
        </w:tc>
        <w:tc>
          <w:tcPr>
            <w:tcW w:w="2941"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Val Whittlesay</w:t>
            </w:r>
          </w:p>
        </w:tc>
        <w:tc>
          <w:tcPr>
            <w:tcW w:w="1585" w:type="dxa"/>
          </w:tcPr>
          <w:p w:rsidR="00D23712" w:rsidRP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D23712" w:rsidRPr="00D23712" w:rsidTr="00BF0681">
        <w:trPr>
          <w:trHeight w:val="144"/>
        </w:trPr>
        <w:tc>
          <w:tcPr>
            <w:tcW w:w="467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CHSS</w:t>
            </w:r>
          </w:p>
        </w:tc>
        <w:tc>
          <w:tcPr>
            <w:tcW w:w="2941"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Thiery Leger</w:t>
            </w:r>
          </w:p>
        </w:tc>
        <w:tc>
          <w:tcPr>
            <w:tcW w:w="158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D23712" w:rsidRPr="00D23712" w:rsidTr="00BF0681">
        <w:trPr>
          <w:trHeight w:val="144"/>
        </w:trPr>
        <w:tc>
          <w:tcPr>
            <w:tcW w:w="467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Institutional Effectiveness</w:t>
            </w:r>
          </w:p>
        </w:tc>
        <w:tc>
          <w:tcPr>
            <w:tcW w:w="2941"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Jorge Perez</w:t>
            </w:r>
          </w:p>
        </w:tc>
        <w:tc>
          <w:tcPr>
            <w:tcW w:w="158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D23712" w:rsidRPr="00D23712" w:rsidTr="00BF0681">
        <w:trPr>
          <w:trHeight w:val="144"/>
        </w:trPr>
        <w:tc>
          <w:tcPr>
            <w:tcW w:w="467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Chair, SE&amp;GD</w:t>
            </w:r>
          </w:p>
        </w:tc>
        <w:tc>
          <w:tcPr>
            <w:tcW w:w="2941"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Join Preston</w:t>
            </w:r>
          </w:p>
        </w:tc>
        <w:tc>
          <w:tcPr>
            <w:tcW w:w="1585" w:type="dxa"/>
          </w:tcPr>
          <w:p w:rsidR="00D23712" w:rsidRDefault="00D23712" w:rsidP="00D23712">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bl>
    <w:p w:rsidR="00D23712" w:rsidRDefault="00D23712" w:rsidP="00F978E2"/>
    <w:sectPr w:rsidR="00D237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AF" w:rsidRDefault="00977DAF" w:rsidP="00AE4944">
      <w:pPr>
        <w:spacing w:after="0" w:line="240" w:lineRule="auto"/>
      </w:pPr>
      <w:r>
        <w:separator/>
      </w:r>
    </w:p>
  </w:endnote>
  <w:endnote w:type="continuationSeparator" w:id="0">
    <w:p w:rsidR="00977DAF" w:rsidRDefault="00977DAF" w:rsidP="00AE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4" w:rsidRDefault="00AE4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4" w:rsidRDefault="00AE4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4" w:rsidRDefault="00AE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AF" w:rsidRDefault="00977DAF" w:rsidP="00AE4944">
      <w:pPr>
        <w:spacing w:after="0" w:line="240" w:lineRule="auto"/>
      </w:pPr>
      <w:r>
        <w:separator/>
      </w:r>
    </w:p>
  </w:footnote>
  <w:footnote w:type="continuationSeparator" w:id="0">
    <w:p w:rsidR="00977DAF" w:rsidRDefault="00977DAF" w:rsidP="00AE4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4" w:rsidRDefault="00AE4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91531"/>
      <w:docPartObj>
        <w:docPartGallery w:val="Watermarks"/>
        <w:docPartUnique/>
      </w:docPartObj>
    </w:sdtPr>
    <w:sdtEndPr/>
    <w:sdtContent>
      <w:p w:rsidR="00AE4944" w:rsidRDefault="00977D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4" w:rsidRDefault="00AE4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C78"/>
    <w:multiLevelType w:val="hybridMultilevel"/>
    <w:tmpl w:val="AF6A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3259F"/>
    <w:multiLevelType w:val="hybridMultilevel"/>
    <w:tmpl w:val="D5A0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F18AA"/>
    <w:multiLevelType w:val="hybridMultilevel"/>
    <w:tmpl w:val="FC3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B27B3"/>
    <w:multiLevelType w:val="hybridMultilevel"/>
    <w:tmpl w:val="DB9C8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42FFC"/>
    <w:multiLevelType w:val="hybridMultilevel"/>
    <w:tmpl w:val="35B2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47EBD"/>
    <w:multiLevelType w:val="hybridMultilevel"/>
    <w:tmpl w:val="F73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7D"/>
    <w:rsid w:val="000D0F6C"/>
    <w:rsid w:val="0022783F"/>
    <w:rsid w:val="0035059D"/>
    <w:rsid w:val="00465C80"/>
    <w:rsid w:val="00495863"/>
    <w:rsid w:val="00810CA1"/>
    <w:rsid w:val="00911A9A"/>
    <w:rsid w:val="00977DAF"/>
    <w:rsid w:val="00AD6B7A"/>
    <w:rsid w:val="00AE4944"/>
    <w:rsid w:val="00C43106"/>
    <w:rsid w:val="00C85271"/>
    <w:rsid w:val="00D23712"/>
    <w:rsid w:val="00D97928"/>
    <w:rsid w:val="00E66721"/>
    <w:rsid w:val="00EC767D"/>
    <w:rsid w:val="00F9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F78463-B66B-42F7-9FA7-C26EE2AA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7D"/>
    <w:pPr>
      <w:ind w:left="720"/>
      <w:contextualSpacing/>
    </w:pPr>
  </w:style>
  <w:style w:type="paragraph" w:styleId="BalloonText">
    <w:name w:val="Balloon Text"/>
    <w:basedOn w:val="Normal"/>
    <w:link w:val="BalloonTextChar"/>
    <w:uiPriority w:val="99"/>
    <w:semiHidden/>
    <w:unhideWhenUsed/>
    <w:rsid w:val="00D97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28"/>
    <w:rPr>
      <w:rFonts w:ascii="Segoe UI" w:hAnsi="Segoe UI" w:cs="Segoe UI"/>
      <w:sz w:val="18"/>
      <w:szCs w:val="18"/>
    </w:rPr>
  </w:style>
  <w:style w:type="paragraph" w:styleId="Header">
    <w:name w:val="header"/>
    <w:basedOn w:val="Normal"/>
    <w:link w:val="HeaderChar"/>
    <w:uiPriority w:val="99"/>
    <w:unhideWhenUsed/>
    <w:rsid w:val="00AE4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44"/>
  </w:style>
  <w:style w:type="paragraph" w:styleId="Footer">
    <w:name w:val="footer"/>
    <w:basedOn w:val="Normal"/>
    <w:link w:val="FooterChar"/>
    <w:uiPriority w:val="99"/>
    <w:unhideWhenUsed/>
    <w:rsid w:val="00AE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44"/>
  </w:style>
  <w:style w:type="table" w:styleId="TableGrid">
    <w:name w:val="Table Grid"/>
    <w:basedOn w:val="TableNormal"/>
    <w:uiPriority w:val="59"/>
    <w:rsid w:val="00D2371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Bowers</dc:creator>
  <cp:keywords/>
  <dc:description/>
  <cp:lastModifiedBy>Cynthia Bowers</cp:lastModifiedBy>
  <cp:revision>2</cp:revision>
  <cp:lastPrinted>2015-01-07T03:32:00Z</cp:lastPrinted>
  <dcterms:created xsi:type="dcterms:W3CDTF">2015-01-16T04:13:00Z</dcterms:created>
  <dcterms:modified xsi:type="dcterms:W3CDTF">2015-01-16T04:13:00Z</dcterms:modified>
</cp:coreProperties>
</file>